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2023-16 Schriftelijke vragen SP Aantal stemlokalen bij Tweede Kamerverkiezingen (594668)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268,35 KB</text:p>
          </table:table-cell>
          <table:table-cell table:style-name="Table3.A2" office:value-type="string">
            <text:p text:style-name="P22">
              <text:a xlink:type="simple" xlink:href="https://gemeenteraad.hofvantwente.nl/documenten/2023-16-schriftelijke-vragen-SP-aantal-stemlokalen-bij-Tweede-Kamerverkiez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raadsvragen camping De Borkeld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323,72 KB</text:p>
          </table:table-cell>
          <table:table-cell table:style-name="Table3.A2" office:value-type="string">
            <text:p text:style-name="P22">
              <text:a xlink:type="simple" xlink:href="https://gemeenteraad.hofvantwente.nl/documenten/Beantwoording-schriftelijke-raadsvragen-camping-De-Bork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op mails-brieven gasten De Borkeld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48,71 KB</text:p>
          </table:table-cell>
          <table:table-cell table:style-name="Table3.A2" office:value-type="string">
            <text:p text:style-name="P22">
              <text:a xlink:type="simple" xlink:href="https://gemeenteraad.hofvantwente.nl/documenten/Reactie-op-mails-brieven-gasten-De-Borkeld-jul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2023-17 Beantwoording schriftelijke vragen VOG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266,33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schriftelijke-vragen-VOG-huishoudelijke-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2023-17 VOG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83,88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VOG-huishoudelijke-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76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